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Arial Narrow" w:cs="Arial Narrow" w:eastAsia="Arial Narrow" w:hAnsi="Arial Narrow"/>
          <w:b w:val="1"/>
          <w:color w:val="404040"/>
          <w:sz w:val="36"/>
          <w:szCs w:val="36"/>
        </w:rPr>
      </w:pPr>
      <w:r w:rsidDel="00000000" w:rsidR="00000000" w:rsidRPr="00000000">
        <w:rPr>
          <w:rFonts w:ascii="Arial Narrow" w:cs="Arial Narrow" w:eastAsia="Arial Narrow" w:hAnsi="Arial Narrow"/>
          <w:b w:val="1"/>
          <w:color w:val="404040"/>
          <w:sz w:val="36"/>
          <w:szCs w:val="36"/>
          <w:rtl w:val="0"/>
        </w:rPr>
        <w:t xml:space="preserve">CAF es el primer emisor latinoamericano en colocar bonos en tasa SOFR</w:t>
      </w:r>
    </w:p>
    <w:p w:rsidR="00000000" w:rsidDel="00000000" w:rsidP="00000000" w:rsidRDefault="00000000" w:rsidRPr="00000000" w14:paraId="00000002">
      <w:pPr>
        <w:shd w:fill="ffffff" w:val="clear"/>
        <w:rPr>
          <w:color w:val="222222"/>
          <w:highlight w:val="yellow"/>
        </w:rPr>
      </w:pPr>
      <w:r w:rsidDel="00000000" w:rsidR="00000000" w:rsidRPr="00000000">
        <w:rPr>
          <w:color w:val="222222"/>
          <w:highlight w:val="yellow"/>
          <w:rtl w:val="0"/>
        </w:rPr>
        <w:t xml:space="preserve"> </w:t>
      </w:r>
    </w:p>
    <w:p w:rsidR="00000000" w:rsidDel="00000000" w:rsidP="00000000" w:rsidRDefault="00000000" w:rsidRPr="00000000" w14:paraId="00000003">
      <w:pPr>
        <w:shd w:fill="ffffff" w:val="clear"/>
        <w:jc w:val="both"/>
        <w:rPr>
          <w:color w:val="222222"/>
        </w:rPr>
      </w:pPr>
      <w:r w:rsidDel="00000000" w:rsidR="00000000" w:rsidRPr="00000000">
        <w:rPr>
          <w:rFonts w:ascii="Arial Narrow" w:cs="Arial Narrow" w:eastAsia="Arial Narrow" w:hAnsi="Arial Narrow"/>
          <w:i w:val="1"/>
          <w:color w:val="a6a6a6"/>
          <w:sz w:val="24"/>
          <w:szCs w:val="24"/>
          <w:rtl w:val="0"/>
        </w:rPr>
        <w:t xml:space="preserve">La emisión de USD 400 millones, marca un hito para el banco de desarrollo de América Latina y lo pone a la vanguardia de las organizaciones globales que avanzan en la adopción de tasas de referencia más confiables ante la descontinuación que tendrá la tasa LIBOR.</w:t>
      </w: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5">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a6a6a6"/>
          <w:sz w:val="24"/>
          <w:szCs w:val="24"/>
          <w:rtl w:val="0"/>
        </w:rPr>
        <w:t xml:space="preserve">(Ciudad de México, 09 de junio de 2021).- </w:t>
      </w:r>
      <w:r w:rsidDel="00000000" w:rsidR="00000000" w:rsidRPr="00000000">
        <w:rPr>
          <w:rFonts w:ascii="Arial Narrow" w:cs="Arial Narrow" w:eastAsia="Arial Narrow" w:hAnsi="Arial Narrow"/>
          <w:b w:val="1"/>
          <w:sz w:val="24"/>
          <w:szCs w:val="24"/>
          <w:rtl w:val="0"/>
        </w:rPr>
        <w:t xml:space="preserve">CAF -banco de desarrollo de América Latina- se convirtió en el primer emisor latinoamericano en colocar bonos bajo la tasa SOFR</w:t>
      </w:r>
      <w:r w:rsidDel="00000000" w:rsidR="00000000" w:rsidRPr="00000000">
        <w:rPr>
          <w:rFonts w:ascii="Arial Narrow" w:cs="Arial Narrow" w:eastAsia="Arial Narrow" w:hAnsi="Arial Narrow"/>
          <w:sz w:val="24"/>
          <w:szCs w:val="24"/>
          <w:rtl w:val="0"/>
        </w:rPr>
        <w:t xml:space="preserve"> (Secured Overnight Funding Rate), la cual se ha consolidado como una tasa alternativa de reemplazo a la tradicional tasa LIBOR, que durante las últimas décadas ha sido la referencia en los mercados y está en proceso de discontinuación. </w:t>
      </w:r>
      <w:r w:rsidDel="00000000" w:rsidR="00000000" w:rsidRPr="00000000">
        <w:rPr>
          <w:rFonts w:ascii="Arial Narrow" w:cs="Arial Narrow" w:eastAsia="Arial Narrow" w:hAnsi="Arial Narrow"/>
          <w:b w:val="1"/>
          <w:sz w:val="24"/>
          <w:szCs w:val="24"/>
          <w:rtl w:val="0"/>
        </w:rPr>
        <w:t xml:space="preserve">La emisión se realizó por USD 400 millones a tres años </w:t>
      </w:r>
      <w:r w:rsidDel="00000000" w:rsidR="00000000" w:rsidRPr="00000000">
        <w:rPr>
          <w:rFonts w:ascii="Arial Narrow" w:cs="Arial Narrow" w:eastAsia="Arial Narrow" w:hAnsi="Arial Narrow"/>
          <w:sz w:val="24"/>
          <w:szCs w:val="24"/>
          <w:rtl w:val="0"/>
        </w:rPr>
        <w:t xml:space="preserve">y un cupón de SOFR+62 puntos básicos y fue estructurada por JP Morgan.</w:t>
      </w:r>
    </w:p>
    <w:p w:rsidR="00000000" w:rsidDel="00000000" w:rsidP="00000000" w:rsidRDefault="00000000" w:rsidRPr="00000000" w14:paraId="00000006">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07">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“Estamos muy satisfechos por la </w:t>
      </w:r>
      <w:r w:rsidDel="00000000" w:rsidR="00000000" w:rsidRPr="00000000">
        <w:rPr>
          <w:rFonts w:ascii="Arial Narrow" w:cs="Arial Narrow" w:eastAsia="Arial Narrow" w:hAnsi="Arial Narrow"/>
          <w:b w:val="1"/>
          <w:sz w:val="24"/>
          <w:szCs w:val="24"/>
          <w:rtl w:val="0"/>
        </w:rPr>
        <w:t xml:space="preserve">confianza de los inversionistas en la solidez financiera de CAF </w:t>
      </w:r>
      <w:r w:rsidDel="00000000" w:rsidR="00000000" w:rsidRPr="00000000">
        <w:rPr>
          <w:rFonts w:ascii="Arial Narrow" w:cs="Arial Narrow" w:eastAsia="Arial Narrow" w:hAnsi="Arial Narrow"/>
          <w:sz w:val="24"/>
          <w:szCs w:val="24"/>
          <w:rtl w:val="0"/>
        </w:rPr>
        <w:t xml:space="preserve">y en atraer recursos para apoyar los planes de acción de los países para mejorar el bienestar de la población y la reactivación económica de la región. También nos enorgullece</w:t>
      </w:r>
      <w:r w:rsidDel="00000000" w:rsidR="00000000" w:rsidRPr="00000000">
        <w:rPr>
          <w:rFonts w:ascii="Arial Narrow" w:cs="Arial Narrow" w:eastAsia="Arial Narrow" w:hAnsi="Arial Narrow"/>
          <w:b w:val="1"/>
          <w:sz w:val="24"/>
          <w:szCs w:val="24"/>
          <w:rtl w:val="0"/>
        </w:rPr>
        <w:t xml:space="preserve"> estar a la vanguardia de los mercados</w:t>
      </w:r>
      <w:r w:rsidDel="00000000" w:rsidR="00000000" w:rsidRPr="00000000">
        <w:rPr>
          <w:rFonts w:ascii="Arial Narrow" w:cs="Arial Narrow" w:eastAsia="Arial Narrow" w:hAnsi="Arial Narrow"/>
          <w:sz w:val="24"/>
          <w:szCs w:val="24"/>
          <w:rtl w:val="0"/>
        </w:rPr>
        <w:t xml:space="preserve">, toda vez que esta transacción nos posiciona como el primer emisor de América Latina en ejecutar bonos con la tasa SOFR”, </w:t>
      </w:r>
      <w:r w:rsidDel="00000000" w:rsidR="00000000" w:rsidRPr="00000000">
        <w:rPr>
          <w:rFonts w:ascii="Arial Narrow" w:cs="Arial Narrow" w:eastAsia="Arial Narrow" w:hAnsi="Arial Narrow"/>
          <w:b w:val="1"/>
          <w:sz w:val="24"/>
          <w:szCs w:val="24"/>
          <w:rtl w:val="0"/>
        </w:rPr>
        <w:t xml:space="preserve">aseguró Renny López, presidente ejecutivo interino de CAF</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08">
      <w:pPr>
        <w:shd w:fill="ffffff" w:val="clear"/>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9">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Ante la desaparición de la tasa de referencia LIBOR, que refleja el tipo de interés promedio al que una selección de bancos se presta dinero sin cobertura en el mercado monetario,</w:t>
      </w:r>
      <w:r w:rsidDel="00000000" w:rsidR="00000000" w:rsidRPr="00000000">
        <w:rPr>
          <w:rFonts w:ascii="Arial Narrow" w:cs="Arial Narrow" w:eastAsia="Arial Narrow" w:hAnsi="Arial Narrow"/>
          <w:b w:val="1"/>
          <w:sz w:val="24"/>
          <w:szCs w:val="24"/>
          <w:rtl w:val="0"/>
        </w:rPr>
        <w:t xml:space="preserve"> SOFR surge como una alternativa eficiente al ser utilizada por los bancos para fijar el precio de los derivados y préstamos denominados en dólares, la cual es administrada por Banco de la Reserva Federal de Nueva York</w:t>
      </w:r>
      <w:r w:rsidDel="00000000" w:rsidR="00000000" w:rsidRPr="00000000">
        <w:rPr>
          <w:rFonts w:ascii="Arial Narrow" w:cs="Arial Narrow" w:eastAsia="Arial Narrow" w:hAnsi="Arial Narrow"/>
          <w:sz w:val="24"/>
          <w:szCs w:val="24"/>
          <w:rtl w:val="0"/>
        </w:rPr>
        <w:t xml:space="preserve">, y publicada en el sitio web </w:t>
      </w:r>
      <w:hyperlink r:id="rId6">
        <w:r w:rsidDel="00000000" w:rsidR="00000000" w:rsidRPr="00000000">
          <w:rPr>
            <w:rFonts w:ascii="Arial Narrow" w:cs="Arial Narrow" w:eastAsia="Arial Narrow" w:hAnsi="Arial Narrow"/>
            <w:color w:val="1155cc"/>
            <w:sz w:val="24"/>
            <w:szCs w:val="24"/>
            <w:u w:val="single"/>
            <w:rtl w:val="0"/>
          </w:rPr>
          <w:t xml:space="preserve">http://www.newyorkfed.org</w:t>
        </w:r>
      </w:hyperlink>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0A">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B">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Banco de Desarrollo de América Latina lleva a cabo desde hace tres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0C">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D">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CAF cerró el 2020 con un récord de más de USD 14.000 millones en aprobaciones de préstamos,</w:t>
      </w:r>
      <w:r w:rsidDel="00000000" w:rsidR="00000000" w:rsidRPr="00000000">
        <w:rPr>
          <w:rFonts w:ascii="Arial Narrow" w:cs="Arial Narrow" w:eastAsia="Arial Narrow" w:hAnsi="Arial Narrow"/>
          <w:sz w:val="24"/>
          <w:szCs w:val="24"/>
          <w:rtl w:val="0"/>
        </w:rPr>
        <w:t xml:space="preserve"> la mayoría destinados a atender los efectos de la pandemia en la economía y en los sistemas de salud, así como a mejorar las infraestructuras digitales, terrestres y energéticas.</w:t>
      </w:r>
      <w:r w:rsidDel="00000000" w:rsidR="00000000" w:rsidRPr="00000000">
        <w:rPr>
          <w:rFonts w:ascii="Arial Narrow" w:cs="Arial Narrow" w:eastAsia="Arial Narrow" w:hAnsi="Arial Narrow"/>
          <w:b w:val="1"/>
          <w:sz w:val="24"/>
          <w:szCs w:val="24"/>
          <w:rtl w:val="0"/>
        </w:rPr>
        <w:t xml:space="preserve"> Al cierre de su 50 aniversario, el organismo multilateral acumuló un total de más de USD 200.000 millones aprobados desde 1970</w:t>
      </w:r>
      <w:r w:rsidDel="00000000" w:rsidR="00000000" w:rsidRPr="00000000">
        <w:rPr>
          <w:rFonts w:ascii="Arial Narrow" w:cs="Arial Narrow" w:eastAsia="Arial Narrow" w:hAnsi="Arial Narrow"/>
          <w:sz w:val="24"/>
          <w:szCs w:val="24"/>
          <w:rtl w:val="0"/>
        </w:rPr>
        <w:t xml:space="preserve">, para promover el desarrollo sostenible y la integración regional.</w:t>
      </w:r>
    </w:p>
    <w:p w:rsidR="00000000" w:rsidDel="00000000" w:rsidP="00000000" w:rsidRDefault="00000000" w:rsidRPr="00000000" w14:paraId="0000000E">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F">
      <w:pPr>
        <w:shd w:fill="ffffff" w:val="clear"/>
        <w:ind w:left="140" w:firstLine="0"/>
        <w:jc w:val="both"/>
        <w:rPr/>
      </w:pPr>
      <w:r w:rsidDel="00000000" w:rsidR="00000000" w:rsidRPr="00000000">
        <w:rPr>
          <w:rFonts w:ascii="Arial Narrow" w:cs="Arial Narrow" w:eastAsia="Arial Narrow" w:hAnsi="Arial Narrow"/>
          <w:color w:val="222222"/>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color w:val="1155cc"/>
            <w:sz w:val="18"/>
            <w:szCs w:val="18"/>
            <w:rtl w:val="0"/>
          </w:rPr>
          <w:t xml:space="preserve">www.caf.com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1794038</wp:posOffset>
          </wp:positionH>
          <wp:positionV relativeFrom="paragraph">
            <wp:posOffset>-342899</wp:posOffset>
          </wp:positionV>
          <wp:extent cx="2143125" cy="58102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22105" l="0" r="0" t="13684"/>
                  <a:stretch>
                    <a:fillRect/>
                  </a:stretch>
                </pic:blipFill>
                <pic:spPr>
                  <a:xfrm>
                    <a:off x="0" y="0"/>
                    <a:ext cx="2143125"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ewyorkfed.org/" TargetMode="External"/><Relationship Id="rId7" Type="http://schemas.openxmlformats.org/officeDocument/2006/relationships/hyperlink" Target="http://www.caf.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